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8AD" w:rsidRDefault="00EE0C4B" w:rsidP="00EE0C4B">
      <w:pPr>
        <w:jc w:val="center"/>
      </w:pPr>
      <w:r>
        <w:rPr>
          <w:noProof/>
          <w:lang w:eastAsia="en-IE"/>
        </w:rPr>
        <w:drawing>
          <wp:inline distT="0" distB="0" distL="0" distR="0">
            <wp:extent cx="4284133" cy="717661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sla_logo_strap_landscap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300" cy="720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C4B" w:rsidRDefault="00EE0C4B" w:rsidP="001E18AD">
      <w:bookmarkStart w:id="0" w:name="_GoBack"/>
      <w:bookmarkEnd w:id="0"/>
    </w:p>
    <w:p w:rsidR="00EE0C4B" w:rsidRDefault="00EE0C4B" w:rsidP="00EE0C4B">
      <w:pPr>
        <w:jc w:val="center"/>
        <w:rPr>
          <w:b/>
          <w:color w:val="4D4D4F"/>
          <w:sz w:val="36"/>
        </w:rPr>
      </w:pPr>
      <w:r w:rsidRPr="00EE0C4B">
        <w:rPr>
          <w:b/>
          <w:color w:val="4D4D4F"/>
          <w:sz w:val="36"/>
        </w:rPr>
        <w:t xml:space="preserve">Template for the Statement of Strategy </w:t>
      </w:r>
    </w:p>
    <w:p w:rsidR="00EE0C4B" w:rsidRPr="00EE0C4B" w:rsidRDefault="00EE0C4B" w:rsidP="00EE0C4B">
      <w:pPr>
        <w:jc w:val="center"/>
        <w:rPr>
          <w:color w:val="4D4D4F"/>
          <w:sz w:val="32"/>
        </w:rPr>
      </w:pPr>
      <w:proofErr w:type="gramStart"/>
      <w:r w:rsidRPr="00EE0C4B">
        <w:rPr>
          <w:b/>
          <w:color w:val="4D4D4F"/>
          <w:sz w:val="36"/>
        </w:rPr>
        <w:t>for</w:t>
      </w:r>
      <w:proofErr w:type="gramEnd"/>
      <w:r w:rsidRPr="00EE0C4B">
        <w:rPr>
          <w:b/>
          <w:color w:val="4D4D4F"/>
          <w:sz w:val="36"/>
        </w:rPr>
        <w:t xml:space="preserve"> School Attendance</w:t>
      </w:r>
    </w:p>
    <w:p w:rsidR="00EE0C4B" w:rsidRDefault="00EE0C4B" w:rsidP="001E18AD"/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90"/>
        <w:gridCol w:w="5444"/>
      </w:tblGrid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</w:pPr>
            <w:r>
              <w:t>Name of school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</w:pPr>
            <w:r>
              <w:t>Address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</w:pPr>
            <w:r>
              <w:t>Roll Number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</w:pPr>
            <w:r>
              <w:rPr>
                <w:rFonts w:cs="Calibri"/>
              </w:rPr>
              <w:t>The school’s vision and values in relation to attendance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The school’s high expectations around attendance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How attendance will be monitored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>Summary of the main elements of the school’s approach to attendance:</w:t>
            </w:r>
          </w:p>
          <w:p w:rsidR="001E18AD" w:rsidRDefault="001E18AD" w:rsidP="001E18AD">
            <w:pPr>
              <w:pStyle w:val="ListParagraph"/>
              <w:numPr>
                <w:ilvl w:val="0"/>
                <w:numId w:val="1"/>
              </w:numPr>
              <w:spacing w:after="40"/>
              <w:ind w:left="432" w:hanging="274"/>
              <w:rPr>
                <w:rFonts w:cs="Calibri"/>
              </w:rPr>
            </w:pPr>
            <w:r>
              <w:rPr>
                <w:rFonts w:cs="Calibri"/>
              </w:rPr>
              <w:t>Target setting and targets</w:t>
            </w:r>
          </w:p>
          <w:p w:rsidR="001E18AD" w:rsidRPr="00C133DD" w:rsidRDefault="001E18AD" w:rsidP="001E18AD">
            <w:pPr>
              <w:pStyle w:val="ListParagraph"/>
              <w:numPr>
                <w:ilvl w:val="0"/>
                <w:numId w:val="1"/>
              </w:numPr>
              <w:spacing w:after="40"/>
              <w:ind w:left="432" w:hanging="274"/>
              <w:rPr>
                <w:rFonts w:cs="Calibri"/>
              </w:rPr>
            </w:pPr>
            <w:r w:rsidRPr="00C133DD">
              <w:rPr>
                <w:rFonts w:cs="Calibri"/>
              </w:rPr>
              <w:t>The whole</w:t>
            </w:r>
            <w:r>
              <w:rPr>
                <w:rFonts w:cs="Calibri"/>
              </w:rPr>
              <w:t>-</w:t>
            </w:r>
            <w:r w:rsidRPr="00C133DD">
              <w:rPr>
                <w:rFonts w:cs="Calibri"/>
              </w:rPr>
              <w:t xml:space="preserve">school approach </w:t>
            </w:r>
          </w:p>
          <w:p w:rsidR="001E18AD" w:rsidRPr="00C133DD" w:rsidRDefault="001E18AD" w:rsidP="001E18AD">
            <w:pPr>
              <w:pStyle w:val="ListParagraph"/>
              <w:numPr>
                <w:ilvl w:val="0"/>
                <w:numId w:val="1"/>
              </w:numPr>
              <w:spacing w:after="40"/>
              <w:ind w:left="432" w:hanging="274"/>
              <w:rPr>
                <w:rFonts w:cs="Calibri"/>
              </w:rPr>
            </w:pPr>
            <w:r w:rsidRPr="00C133DD">
              <w:rPr>
                <w:rFonts w:cs="Calibri"/>
              </w:rPr>
              <w:t xml:space="preserve">Promoting good attendance </w:t>
            </w:r>
          </w:p>
          <w:p w:rsidR="001E18AD" w:rsidRDefault="001E18AD" w:rsidP="001E18AD">
            <w:pPr>
              <w:pStyle w:val="ListParagraph"/>
              <w:numPr>
                <w:ilvl w:val="0"/>
                <w:numId w:val="1"/>
              </w:numPr>
              <w:spacing w:after="120"/>
              <w:ind w:left="432" w:hanging="274"/>
              <w:rPr>
                <w:rFonts w:cs="Calibri"/>
              </w:rPr>
            </w:pPr>
            <w:r w:rsidRPr="00C924E4">
              <w:rPr>
                <w:rFonts w:cs="Calibri"/>
              </w:rPr>
              <w:t>Responding to poor attendance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School roles in relation to attendance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Partnership arrangements (parents, students, other schools, youth and community groups)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How the Statement of Strategy will be monitored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Review process and date for review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Date the Statement of Strategy was approved by the Board of Management</w:t>
            </w:r>
          </w:p>
        </w:tc>
        <w:tc>
          <w:tcPr>
            <w:tcW w:w="5444" w:type="dxa"/>
          </w:tcPr>
          <w:p w:rsidR="001E18AD" w:rsidRDefault="001E18AD" w:rsidP="00C77F36"/>
        </w:tc>
      </w:tr>
      <w:tr w:rsidR="001E18AD" w:rsidTr="00EE0C4B">
        <w:tc>
          <w:tcPr>
            <w:tcW w:w="3690" w:type="dxa"/>
            <w:shd w:val="clear" w:color="auto" w:fill="DBE5F1" w:themeFill="accent1" w:themeFillTint="33"/>
          </w:tcPr>
          <w:p w:rsidR="001E18AD" w:rsidRDefault="001E18AD" w:rsidP="00C77F36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Date the Statement of Strategy submitted to Tusla</w:t>
            </w:r>
          </w:p>
        </w:tc>
        <w:tc>
          <w:tcPr>
            <w:tcW w:w="5444" w:type="dxa"/>
          </w:tcPr>
          <w:p w:rsidR="001E18AD" w:rsidRDefault="001E18AD" w:rsidP="00C77F36"/>
        </w:tc>
      </w:tr>
    </w:tbl>
    <w:p w:rsidR="001E18AD" w:rsidRDefault="001E18AD" w:rsidP="001E18AD">
      <w:pPr>
        <w:rPr>
          <w:rFonts w:cs="Calibri"/>
        </w:rPr>
      </w:pPr>
    </w:p>
    <w:p w:rsidR="004B75A1" w:rsidRDefault="00EE0C4B"/>
    <w:sectPr w:rsidR="004B75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4CC4"/>
    <w:multiLevelType w:val="hybridMultilevel"/>
    <w:tmpl w:val="79CAB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8AD"/>
    <w:rsid w:val="000D7486"/>
    <w:rsid w:val="001E18AD"/>
    <w:rsid w:val="00832A17"/>
    <w:rsid w:val="008F672A"/>
    <w:rsid w:val="00EE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E18A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8AD"/>
    <w:pPr>
      <w:ind w:left="720"/>
    </w:pPr>
  </w:style>
  <w:style w:type="table" w:styleId="TableGrid">
    <w:name w:val="Table Grid"/>
    <w:basedOn w:val="TableNormal"/>
    <w:uiPriority w:val="59"/>
    <w:rsid w:val="001E18AD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0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C4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E18A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8AD"/>
    <w:pPr>
      <w:ind w:left="720"/>
    </w:pPr>
  </w:style>
  <w:style w:type="table" w:styleId="TableGrid">
    <w:name w:val="Table Grid"/>
    <w:basedOn w:val="TableNormal"/>
    <w:uiPriority w:val="59"/>
    <w:rsid w:val="001E18AD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0C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C4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Brattman</dc:creator>
  <cp:lastModifiedBy>DMulcahy</cp:lastModifiedBy>
  <cp:revision>2</cp:revision>
  <dcterms:created xsi:type="dcterms:W3CDTF">2015-07-15T09:03:00Z</dcterms:created>
  <dcterms:modified xsi:type="dcterms:W3CDTF">2016-05-25T13:40:00Z</dcterms:modified>
</cp:coreProperties>
</file>